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176A5" w14:textId="77777777" w:rsidR="00850BA2" w:rsidRDefault="00850BA2" w:rsidP="00850BA2">
      <w:pPr>
        <w:tabs>
          <w:tab w:val="left" w:pos="4320"/>
        </w:tabs>
        <w:rPr>
          <w:rFonts w:ascii="Arial" w:hAnsi="Arial" w:cs="Arial"/>
          <w:b/>
          <w:bCs/>
          <w:sz w:val="22"/>
        </w:rPr>
      </w:pPr>
      <w:r>
        <w:rPr>
          <w:rFonts w:ascii="Arial" w:hAnsi="Arial" w:cs="Arial"/>
          <w:b/>
          <w:bCs/>
        </w:rPr>
        <w:t xml:space="preserve">EFFECTIVE:  </w:t>
      </w:r>
      <w:r w:rsidRPr="005C132A">
        <w:rPr>
          <w:rFonts w:ascii="Arial" w:hAnsi="Arial" w:cs="Arial"/>
          <w:b/>
          <w:sz w:val="22"/>
          <w:szCs w:val="22"/>
        </w:rPr>
        <w:t>Immediately</w:t>
      </w:r>
      <w:r>
        <w:rPr>
          <w:rFonts w:ascii="Arial" w:hAnsi="Arial" w:cs="Arial"/>
          <w:b/>
          <w:bCs/>
          <w:sz w:val="22"/>
        </w:rPr>
        <w:tab/>
        <w:t xml:space="preserve">                                  </w:t>
      </w:r>
      <w:r>
        <w:rPr>
          <w:rFonts w:ascii="Arial" w:hAnsi="Arial" w:cs="Arial"/>
          <w:b/>
          <w:bCs/>
        </w:rPr>
        <w:t xml:space="preserve"> Updated: </w:t>
      </w:r>
      <w:r w:rsidR="00243807">
        <w:rPr>
          <w:rFonts w:ascii="Arial" w:hAnsi="Arial" w:cs="Arial"/>
          <w:b/>
          <w:bCs/>
        </w:rPr>
        <w:t>April, 2023</w:t>
      </w:r>
    </w:p>
    <w:tbl>
      <w:tblPr>
        <w:tblW w:w="9360" w:type="dxa"/>
        <w:tblLook w:val="0000" w:firstRow="0" w:lastRow="0" w:firstColumn="0" w:lastColumn="0" w:noHBand="0" w:noVBand="0"/>
      </w:tblPr>
      <w:tblGrid>
        <w:gridCol w:w="1696"/>
        <w:gridCol w:w="7664"/>
      </w:tblGrid>
      <w:tr w:rsidR="00850BA2" w14:paraId="13792292" w14:textId="77777777" w:rsidTr="008A7348">
        <w:trPr>
          <w:trHeight w:val="81"/>
        </w:trPr>
        <w:tc>
          <w:tcPr>
            <w:tcW w:w="1696" w:type="dxa"/>
          </w:tcPr>
          <w:p w14:paraId="41D1851D" w14:textId="77777777" w:rsidR="00850BA2" w:rsidRDefault="00850BA2" w:rsidP="008A7348">
            <w:pPr>
              <w:rPr>
                <w:rFonts w:ascii="Arial" w:hAnsi="Arial" w:cs="Arial"/>
                <w:b/>
                <w:bCs/>
                <w:sz w:val="22"/>
              </w:rPr>
            </w:pPr>
          </w:p>
        </w:tc>
        <w:tc>
          <w:tcPr>
            <w:tcW w:w="7664" w:type="dxa"/>
          </w:tcPr>
          <w:p w14:paraId="1DEC760A" w14:textId="77777777" w:rsidR="00850BA2" w:rsidRDefault="00850BA2" w:rsidP="008A7348">
            <w:pPr>
              <w:rPr>
                <w:rFonts w:ascii="Arial" w:hAnsi="Arial" w:cs="Arial"/>
                <w:b/>
                <w:bCs/>
                <w:sz w:val="22"/>
              </w:rPr>
            </w:pPr>
          </w:p>
        </w:tc>
      </w:tr>
      <w:tr w:rsidR="00850BA2" w14:paraId="6F1C4120" w14:textId="77777777" w:rsidTr="008A7348">
        <w:tc>
          <w:tcPr>
            <w:tcW w:w="1696" w:type="dxa"/>
          </w:tcPr>
          <w:p w14:paraId="292FF2B6" w14:textId="77777777" w:rsidR="00850BA2" w:rsidRDefault="00850BA2" w:rsidP="008A7348">
            <w:pPr>
              <w:rPr>
                <w:rFonts w:ascii="Arial" w:hAnsi="Arial" w:cs="Arial"/>
              </w:rPr>
            </w:pPr>
            <w:r>
              <w:rPr>
                <w:rFonts w:ascii="Arial" w:hAnsi="Arial" w:cs="Arial"/>
                <w:b/>
                <w:bCs/>
              </w:rPr>
              <w:t>PURPOSE:</w:t>
            </w:r>
          </w:p>
          <w:p w14:paraId="2F7F0862" w14:textId="77777777" w:rsidR="00850BA2" w:rsidRDefault="00850BA2" w:rsidP="008A7348">
            <w:pPr>
              <w:rPr>
                <w:rFonts w:ascii="Arial" w:hAnsi="Arial" w:cs="Arial"/>
                <w:b/>
                <w:bCs/>
              </w:rPr>
            </w:pPr>
          </w:p>
        </w:tc>
        <w:tc>
          <w:tcPr>
            <w:tcW w:w="7664" w:type="dxa"/>
          </w:tcPr>
          <w:p w14:paraId="37717064" w14:textId="77777777" w:rsidR="00850BA2" w:rsidRDefault="00850BA2" w:rsidP="008A7348">
            <w:pPr>
              <w:rPr>
                <w:rFonts w:ascii="Arial" w:hAnsi="Arial"/>
                <w:sz w:val="20"/>
              </w:rPr>
            </w:pPr>
            <w:r>
              <w:rPr>
                <w:rFonts w:ascii="Arial" w:hAnsi="Arial"/>
                <w:sz w:val="20"/>
              </w:rPr>
              <w:t>To explain the procedure to transport deceased human bodies.</w:t>
            </w:r>
          </w:p>
          <w:p w14:paraId="15F18F89" w14:textId="77777777" w:rsidR="00850BA2" w:rsidRPr="001F4550" w:rsidRDefault="00850BA2" w:rsidP="008A7348">
            <w:pPr>
              <w:jc w:val="both"/>
              <w:rPr>
                <w:rFonts w:ascii="Arial" w:hAnsi="Arial" w:cs="Arial"/>
                <w:sz w:val="20"/>
                <w:szCs w:val="20"/>
              </w:rPr>
            </w:pPr>
          </w:p>
        </w:tc>
      </w:tr>
      <w:tr w:rsidR="00850BA2" w14:paraId="5F323DE6" w14:textId="77777777" w:rsidTr="008A7348">
        <w:trPr>
          <w:trHeight w:val="360"/>
        </w:trPr>
        <w:tc>
          <w:tcPr>
            <w:tcW w:w="1696" w:type="dxa"/>
          </w:tcPr>
          <w:p w14:paraId="29FB57F8" w14:textId="77777777" w:rsidR="00850BA2" w:rsidRDefault="00850BA2" w:rsidP="008A7348">
            <w:pPr>
              <w:rPr>
                <w:rFonts w:ascii="Arial" w:hAnsi="Arial" w:cs="Arial"/>
              </w:rPr>
            </w:pPr>
            <w:r>
              <w:rPr>
                <w:rFonts w:ascii="Arial" w:hAnsi="Arial" w:cs="Arial"/>
                <w:b/>
                <w:bCs/>
              </w:rPr>
              <w:t>SCOPE:</w:t>
            </w:r>
          </w:p>
          <w:p w14:paraId="2A6A9BF0" w14:textId="77777777" w:rsidR="00850BA2" w:rsidRDefault="00850BA2" w:rsidP="008A7348">
            <w:pPr>
              <w:rPr>
                <w:rFonts w:ascii="Arial" w:hAnsi="Arial" w:cs="Arial"/>
                <w:b/>
                <w:bCs/>
              </w:rPr>
            </w:pPr>
          </w:p>
        </w:tc>
        <w:tc>
          <w:tcPr>
            <w:tcW w:w="7664" w:type="dxa"/>
          </w:tcPr>
          <w:p w14:paraId="56ED0DAB" w14:textId="77777777" w:rsidR="00850BA2" w:rsidRPr="004C7447" w:rsidRDefault="00850BA2" w:rsidP="008A7348">
            <w:pPr>
              <w:jc w:val="both"/>
              <w:rPr>
                <w:rFonts w:ascii="Arial" w:hAnsi="Arial"/>
                <w:sz w:val="20"/>
              </w:rPr>
            </w:pPr>
            <w:r>
              <w:rPr>
                <w:rFonts w:ascii="Arial" w:hAnsi="Arial"/>
                <w:sz w:val="20"/>
              </w:rPr>
              <w:t>This guideline applies to sworn PCCO personnel.</w:t>
            </w:r>
          </w:p>
        </w:tc>
      </w:tr>
      <w:tr w:rsidR="00850BA2" w14:paraId="0C9678DA" w14:textId="77777777" w:rsidTr="008A7348">
        <w:tc>
          <w:tcPr>
            <w:tcW w:w="1696" w:type="dxa"/>
          </w:tcPr>
          <w:p w14:paraId="257D8629" w14:textId="77777777" w:rsidR="00850BA2" w:rsidRDefault="00850BA2" w:rsidP="008A7348">
            <w:pPr>
              <w:jc w:val="both"/>
              <w:rPr>
                <w:rFonts w:ascii="Arial" w:hAnsi="Arial" w:cs="Arial"/>
                <w:i/>
                <w:iCs/>
              </w:rPr>
            </w:pPr>
            <w:r>
              <w:rPr>
                <w:rFonts w:ascii="Arial" w:hAnsi="Arial" w:cs="Arial"/>
                <w:b/>
                <w:bCs/>
              </w:rPr>
              <w:t>GUIDELINE:</w:t>
            </w:r>
          </w:p>
          <w:p w14:paraId="5B90920F" w14:textId="77777777" w:rsidR="00850BA2" w:rsidRDefault="00850BA2" w:rsidP="008A7348">
            <w:pPr>
              <w:rPr>
                <w:rFonts w:ascii="Arial" w:hAnsi="Arial" w:cs="Arial"/>
                <w:b/>
                <w:bCs/>
              </w:rPr>
            </w:pPr>
          </w:p>
        </w:tc>
        <w:tc>
          <w:tcPr>
            <w:tcW w:w="7664" w:type="dxa"/>
          </w:tcPr>
          <w:p w14:paraId="54402802" w14:textId="77777777" w:rsidR="00850BA2" w:rsidRDefault="00850BA2" w:rsidP="008A7348">
            <w:pPr>
              <w:jc w:val="both"/>
              <w:rPr>
                <w:rFonts w:ascii="Arial" w:hAnsi="Arial"/>
                <w:sz w:val="20"/>
              </w:rPr>
            </w:pPr>
            <w:r>
              <w:rPr>
                <w:rFonts w:ascii="Arial" w:hAnsi="Arial"/>
                <w:sz w:val="20"/>
              </w:rPr>
              <w:t>Deceased shall be moved with respect and as much dignity as the scene allows. Moving of deceased shall be in the safest manner possible to avoid injuries to staff and other agencies assisting.</w:t>
            </w:r>
          </w:p>
          <w:p w14:paraId="3C4BB768" w14:textId="77777777" w:rsidR="00850BA2" w:rsidRDefault="00850BA2" w:rsidP="008A7348">
            <w:pPr>
              <w:jc w:val="both"/>
              <w:rPr>
                <w:rFonts w:ascii="Arial" w:hAnsi="Arial"/>
                <w:sz w:val="20"/>
              </w:rPr>
            </w:pPr>
          </w:p>
          <w:p w14:paraId="3FC7F316" w14:textId="77777777" w:rsidR="00850BA2" w:rsidRDefault="00850BA2" w:rsidP="00850BA2">
            <w:pPr>
              <w:numPr>
                <w:ilvl w:val="0"/>
                <w:numId w:val="1"/>
              </w:numPr>
              <w:jc w:val="both"/>
              <w:rPr>
                <w:rFonts w:ascii="Arial" w:hAnsi="Arial"/>
                <w:sz w:val="20"/>
              </w:rPr>
            </w:pPr>
            <w:r>
              <w:rPr>
                <w:rFonts w:ascii="Arial" w:hAnsi="Arial"/>
                <w:sz w:val="20"/>
              </w:rPr>
              <w:t>The body shall be placed into an office provided body pouch on every case prior to leaving the scene. The pouch shall be zipped closed in all cases and sealed with number tag in suspicious cases. The hands shall be bagged in paper bags and secured with evidence tape when indicated by scene investigation.</w:t>
            </w:r>
          </w:p>
          <w:p w14:paraId="74C578D1" w14:textId="77777777" w:rsidR="00850BA2" w:rsidRPr="00262D33" w:rsidRDefault="004C7820" w:rsidP="008A7348">
            <w:pPr>
              <w:numPr>
                <w:ilvl w:val="0"/>
                <w:numId w:val="1"/>
              </w:numPr>
              <w:jc w:val="both"/>
              <w:rPr>
                <w:rFonts w:ascii="Arial" w:hAnsi="Arial"/>
                <w:sz w:val="20"/>
              </w:rPr>
            </w:pPr>
            <w:r w:rsidRPr="00262D33">
              <w:rPr>
                <w:rFonts w:ascii="Arial" w:hAnsi="Arial"/>
                <w:sz w:val="20"/>
                <w:highlight w:val="yellow"/>
              </w:rPr>
              <w:t>The body is the jurisdiction of the Coroner in all Cases from arrival on. The Coroner/Deputy Coroner shall not leave the remains unattended in any circumstances unless absolutely necessary due to extenuating circumstances such as radioactivity or other contamination.</w:t>
            </w:r>
            <w:r w:rsidR="00243807">
              <w:rPr>
                <w:rFonts w:ascii="Arial" w:hAnsi="Arial"/>
                <w:sz w:val="20"/>
                <w:highlight w:val="yellow"/>
              </w:rPr>
              <w:t xml:space="preserve"> </w:t>
            </w:r>
            <w:r w:rsidR="00243807" w:rsidRPr="00243807">
              <w:rPr>
                <w:rFonts w:ascii="Arial" w:hAnsi="Arial"/>
                <w:sz w:val="20"/>
                <w:highlight w:val="green"/>
              </w:rPr>
              <w:t>The only exception to this shall be when weather/night fall prohibits the removal of remains.  In such event the scene shall be guarded by law Enforcement and Supervising Coroner/Chief Deputy Coroner shall approve.</w:t>
            </w:r>
          </w:p>
          <w:p w14:paraId="56B8E45C" w14:textId="77777777" w:rsidR="00850BA2" w:rsidRPr="00262D33" w:rsidRDefault="00850BA2" w:rsidP="008A7348">
            <w:pPr>
              <w:numPr>
                <w:ilvl w:val="0"/>
                <w:numId w:val="1"/>
              </w:numPr>
              <w:jc w:val="both"/>
              <w:rPr>
                <w:rFonts w:ascii="Arial" w:hAnsi="Arial"/>
                <w:sz w:val="20"/>
              </w:rPr>
            </w:pPr>
            <w:r w:rsidRPr="00262D33">
              <w:rPr>
                <w:rFonts w:ascii="Arial" w:hAnsi="Arial"/>
                <w:sz w:val="20"/>
              </w:rPr>
              <w:t xml:space="preserve">Deceased shall have a wrist band placed with the subjects identity (If determined), case number and </w:t>
            </w:r>
            <w:proofErr w:type="gramStart"/>
            <w:r w:rsidR="00243807" w:rsidRPr="00243807">
              <w:rPr>
                <w:rFonts w:ascii="Arial" w:hAnsi="Arial"/>
                <w:sz w:val="20"/>
                <w:highlight w:val="green"/>
              </w:rPr>
              <w:t>PCCO</w:t>
            </w:r>
            <w:r w:rsidR="00243807">
              <w:rPr>
                <w:rFonts w:ascii="Arial" w:hAnsi="Arial"/>
                <w:sz w:val="20"/>
              </w:rPr>
              <w:t xml:space="preserve"> </w:t>
            </w:r>
            <w:r w:rsidRPr="00262D33">
              <w:rPr>
                <w:rFonts w:ascii="Arial" w:hAnsi="Arial"/>
                <w:sz w:val="20"/>
              </w:rPr>
              <w:t xml:space="preserve"> written</w:t>
            </w:r>
            <w:proofErr w:type="gramEnd"/>
            <w:r w:rsidRPr="00262D33">
              <w:rPr>
                <w:rFonts w:ascii="Arial" w:hAnsi="Arial"/>
                <w:sz w:val="20"/>
              </w:rPr>
              <w:t xml:space="preserve"> in sharpie on it. This identity band shall be placed before departing scene. See Identification Guideline for unidentified cases. </w:t>
            </w:r>
          </w:p>
          <w:p w14:paraId="0E1D6FC5" w14:textId="77777777" w:rsidR="00850BA2" w:rsidRDefault="00850BA2" w:rsidP="00850BA2">
            <w:pPr>
              <w:numPr>
                <w:ilvl w:val="0"/>
                <w:numId w:val="1"/>
              </w:numPr>
              <w:jc w:val="both"/>
              <w:rPr>
                <w:rFonts w:ascii="Arial" w:hAnsi="Arial"/>
                <w:sz w:val="20"/>
              </w:rPr>
            </w:pPr>
            <w:r>
              <w:rPr>
                <w:rFonts w:ascii="Arial" w:hAnsi="Arial"/>
                <w:sz w:val="20"/>
              </w:rPr>
              <w:t>Appropriate biohazard PPE shall be worn to avoid risk of exposure to body fluids.</w:t>
            </w:r>
          </w:p>
          <w:p w14:paraId="1A55A3F2" w14:textId="77777777" w:rsidR="00850BA2" w:rsidRDefault="00850BA2" w:rsidP="008A7348">
            <w:pPr>
              <w:ind w:left="360"/>
              <w:jc w:val="both"/>
              <w:rPr>
                <w:rFonts w:ascii="Arial" w:hAnsi="Arial"/>
                <w:sz w:val="20"/>
              </w:rPr>
            </w:pPr>
          </w:p>
          <w:p w14:paraId="627F4A69" w14:textId="6AFC32CD" w:rsidR="00850BA2" w:rsidRDefault="00850BA2" w:rsidP="00850BA2">
            <w:pPr>
              <w:numPr>
                <w:ilvl w:val="0"/>
                <w:numId w:val="1"/>
              </w:numPr>
              <w:jc w:val="both"/>
              <w:rPr>
                <w:rFonts w:ascii="Arial" w:hAnsi="Arial"/>
                <w:sz w:val="20"/>
              </w:rPr>
            </w:pPr>
            <w:r>
              <w:rPr>
                <w:rFonts w:ascii="Arial" w:hAnsi="Arial"/>
                <w:sz w:val="20"/>
              </w:rPr>
              <w:t xml:space="preserve">The deceased shall be placed into Coroner Office vehicles using </w:t>
            </w:r>
            <w:r w:rsidR="009E4606" w:rsidRPr="00243807">
              <w:rPr>
                <w:rFonts w:ascii="Arial" w:hAnsi="Arial"/>
                <w:sz w:val="20"/>
                <w:highlight w:val="green"/>
              </w:rPr>
              <w:t>power</w:t>
            </w:r>
            <w:r w:rsidR="009E4606">
              <w:rPr>
                <w:rFonts w:ascii="Arial" w:hAnsi="Arial"/>
                <w:sz w:val="20"/>
              </w:rPr>
              <w:t xml:space="preserve"> cots</w:t>
            </w:r>
            <w:r>
              <w:rPr>
                <w:rFonts w:ascii="Arial" w:hAnsi="Arial"/>
                <w:sz w:val="20"/>
              </w:rPr>
              <w:t>.</w:t>
            </w:r>
          </w:p>
          <w:p w14:paraId="485693A2" w14:textId="77777777" w:rsidR="00850BA2" w:rsidRDefault="00850BA2" w:rsidP="008A7348">
            <w:pPr>
              <w:ind w:left="360"/>
              <w:jc w:val="both"/>
              <w:rPr>
                <w:rFonts w:ascii="Arial" w:hAnsi="Arial"/>
                <w:sz w:val="20"/>
              </w:rPr>
            </w:pPr>
          </w:p>
          <w:p w14:paraId="3C6A807F" w14:textId="77777777" w:rsidR="00850BA2" w:rsidRPr="00262D33" w:rsidRDefault="00850BA2" w:rsidP="008A7348">
            <w:pPr>
              <w:numPr>
                <w:ilvl w:val="0"/>
                <w:numId w:val="1"/>
              </w:numPr>
              <w:jc w:val="both"/>
              <w:rPr>
                <w:rFonts w:ascii="Arial" w:hAnsi="Arial"/>
                <w:sz w:val="20"/>
              </w:rPr>
            </w:pPr>
            <w:r w:rsidRPr="00262D33">
              <w:rPr>
                <w:rFonts w:ascii="Arial" w:hAnsi="Arial"/>
                <w:sz w:val="20"/>
              </w:rPr>
              <w:t>Agencies such as law enforcement, fire or EMS shall be asked for assistance to avoid injury.</w:t>
            </w:r>
          </w:p>
          <w:p w14:paraId="5CD06F63" w14:textId="77777777" w:rsidR="00850BA2" w:rsidRPr="00262D33" w:rsidRDefault="00850BA2" w:rsidP="008A7348">
            <w:pPr>
              <w:numPr>
                <w:ilvl w:val="0"/>
                <w:numId w:val="1"/>
              </w:numPr>
              <w:jc w:val="both"/>
              <w:rPr>
                <w:rFonts w:ascii="Arial" w:hAnsi="Arial"/>
                <w:sz w:val="20"/>
              </w:rPr>
            </w:pPr>
            <w:r w:rsidRPr="00262D33">
              <w:rPr>
                <w:rFonts w:ascii="Arial" w:hAnsi="Arial"/>
                <w:sz w:val="20"/>
              </w:rPr>
              <w:t xml:space="preserve">The deceased shall be transported to the Park County Morgue. The deceased shall be placed in the cooler following the morgue intake guideline.     </w:t>
            </w:r>
          </w:p>
          <w:p w14:paraId="434E0E58" w14:textId="77777777" w:rsidR="00850BA2" w:rsidRPr="00262D33" w:rsidRDefault="00850BA2" w:rsidP="008A7348">
            <w:pPr>
              <w:numPr>
                <w:ilvl w:val="0"/>
                <w:numId w:val="1"/>
              </w:numPr>
              <w:jc w:val="both"/>
              <w:rPr>
                <w:rFonts w:ascii="Arial" w:hAnsi="Arial"/>
                <w:sz w:val="20"/>
              </w:rPr>
            </w:pPr>
            <w:r w:rsidRPr="00262D33">
              <w:rPr>
                <w:rFonts w:ascii="Arial" w:hAnsi="Arial"/>
                <w:sz w:val="20"/>
              </w:rPr>
              <w:t>Deceased over 250lbs will require PCCO staff to enlist at least one other person to assist. This person should be in the following order PCCO staff, law enforcement, fire, EMS or designated county employee.</w:t>
            </w:r>
          </w:p>
          <w:p w14:paraId="24891698" w14:textId="77777777" w:rsidR="00850BA2" w:rsidRPr="00262D33" w:rsidRDefault="00850BA2" w:rsidP="008A7348">
            <w:pPr>
              <w:numPr>
                <w:ilvl w:val="0"/>
                <w:numId w:val="1"/>
              </w:numPr>
              <w:jc w:val="both"/>
              <w:rPr>
                <w:rFonts w:ascii="Arial" w:hAnsi="Arial"/>
                <w:sz w:val="20"/>
              </w:rPr>
            </w:pPr>
            <w:r w:rsidRPr="00262D33">
              <w:rPr>
                <w:rFonts w:ascii="Arial" w:hAnsi="Arial"/>
                <w:sz w:val="20"/>
              </w:rPr>
              <w:t>If the body is decomposed or is known to have an infectious blood borne disease the subject shall be sealed using the bio-seal containment system. After the sealing the body shall be placed in the cooler.</w:t>
            </w:r>
          </w:p>
          <w:p w14:paraId="3A3489C7" w14:textId="77777777" w:rsidR="00850BA2" w:rsidRPr="004C7447" w:rsidRDefault="00850BA2" w:rsidP="00850BA2">
            <w:pPr>
              <w:numPr>
                <w:ilvl w:val="0"/>
                <w:numId w:val="1"/>
              </w:numPr>
              <w:jc w:val="both"/>
              <w:rPr>
                <w:rFonts w:ascii="Arial" w:hAnsi="Arial"/>
                <w:sz w:val="20"/>
              </w:rPr>
            </w:pPr>
            <w:r>
              <w:rPr>
                <w:rFonts w:ascii="Arial" w:hAnsi="Arial"/>
                <w:sz w:val="20"/>
              </w:rPr>
              <w:t>Before subject is removed from the morgue for any reason including transferred to funeral home the wrist band shall be verified to confirm identity.</w:t>
            </w:r>
          </w:p>
        </w:tc>
      </w:tr>
      <w:tr w:rsidR="00850BA2" w14:paraId="0673048E" w14:textId="77777777" w:rsidTr="008A7348">
        <w:tc>
          <w:tcPr>
            <w:tcW w:w="1696" w:type="dxa"/>
          </w:tcPr>
          <w:p w14:paraId="03A709B5" w14:textId="77777777" w:rsidR="00850BA2" w:rsidRDefault="00850BA2" w:rsidP="008A7348">
            <w:pPr>
              <w:jc w:val="both"/>
              <w:rPr>
                <w:rFonts w:ascii="Arial" w:hAnsi="Arial" w:cs="Arial"/>
                <w:b/>
                <w:bCs/>
              </w:rPr>
            </w:pPr>
          </w:p>
          <w:p w14:paraId="3A2C154F" w14:textId="77777777" w:rsidR="00850BA2" w:rsidRDefault="00850BA2" w:rsidP="008A7348">
            <w:pPr>
              <w:jc w:val="both"/>
              <w:rPr>
                <w:rFonts w:ascii="Arial" w:hAnsi="Arial" w:cs="Arial"/>
                <w:b/>
                <w:bCs/>
              </w:rPr>
            </w:pPr>
            <w:r>
              <w:rPr>
                <w:rFonts w:ascii="Arial" w:hAnsi="Arial" w:cs="Arial"/>
                <w:b/>
                <w:bCs/>
              </w:rPr>
              <w:t>NOTE:</w:t>
            </w:r>
          </w:p>
          <w:p w14:paraId="483A4626" w14:textId="77777777" w:rsidR="00850BA2" w:rsidRDefault="00850BA2" w:rsidP="008A7348">
            <w:pPr>
              <w:jc w:val="both"/>
              <w:rPr>
                <w:rFonts w:ascii="Arial" w:hAnsi="Arial" w:cs="Arial"/>
                <w:b/>
                <w:bCs/>
              </w:rPr>
            </w:pPr>
          </w:p>
        </w:tc>
        <w:tc>
          <w:tcPr>
            <w:tcW w:w="7664" w:type="dxa"/>
          </w:tcPr>
          <w:p w14:paraId="7EA20075" w14:textId="77777777" w:rsidR="00850BA2" w:rsidRDefault="00850BA2" w:rsidP="008A7348">
            <w:pPr>
              <w:jc w:val="both"/>
              <w:rPr>
                <w:rFonts w:ascii="Arial" w:hAnsi="Arial"/>
                <w:sz w:val="20"/>
              </w:rPr>
            </w:pPr>
          </w:p>
          <w:p w14:paraId="27F894D9" w14:textId="77777777" w:rsidR="00850BA2" w:rsidRPr="00CA6C68" w:rsidRDefault="00850BA2" w:rsidP="008A7348">
            <w:pPr>
              <w:jc w:val="both"/>
              <w:rPr>
                <w:rFonts w:ascii="Arial" w:hAnsi="Arial"/>
                <w:sz w:val="20"/>
              </w:rPr>
            </w:pPr>
            <w:r>
              <w:rPr>
                <w:rFonts w:ascii="Arial" w:hAnsi="Arial"/>
                <w:sz w:val="20"/>
              </w:rPr>
              <w:t xml:space="preserve">In the case of extreme morbid obesity of deceased consult with Coroner or </w:t>
            </w:r>
            <w:r w:rsidR="00243807" w:rsidRPr="00243807">
              <w:rPr>
                <w:rFonts w:ascii="Arial" w:hAnsi="Arial"/>
                <w:sz w:val="20"/>
                <w:highlight w:val="green"/>
              </w:rPr>
              <w:t>Chief</w:t>
            </w:r>
            <w:r>
              <w:rPr>
                <w:rFonts w:ascii="Arial" w:hAnsi="Arial"/>
                <w:sz w:val="20"/>
              </w:rPr>
              <w:t xml:space="preserve"> Deputy Coroner for other possible removal and storage options.</w:t>
            </w:r>
          </w:p>
        </w:tc>
      </w:tr>
      <w:tr w:rsidR="00850BA2" w14:paraId="5F715772" w14:textId="77777777" w:rsidTr="008A7348">
        <w:trPr>
          <w:trHeight w:val="405"/>
        </w:trPr>
        <w:tc>
          <w:tcPr>
            <w:tcW w:w="1696" w:type="dxa"/>
          </w:tcPr>
          <w:p w14:paraId="05826626" w14:textId="77777777" w:rsidR="00850BA2" w:rsidRDefault="00850BA2" w:rsidP="008A7348">
            <w:pPr>
              <w:jc w:val="both"/>
              <w:rPr>
                <w:rFonts w:ascii="Arial" w:hAnsi="Arial" w:cs="Arial"/>
                <w:b/>
                <w:bCs/>
              </w:rPr>
            </w:pPr>
          </w:p>
        </w:tc>
        <w:tc>
          <w:tcPr>
            <w:tcW w:w="7664" w:type="dxa"/>
          </w:tcPr>
          <w:p w14:paraId="769579DF" w14:textId="77777777" w:rsidR="00850BA2" w:rsidRPr="00CA6C68" w:rsidRDefault="00850BA2" w:rsidP="008A7348">
            <w:pPr>
              <w:pStyle w:val="BodyText"/>
              <w:rPr>
                <w:sz w:val="20"/>
              </w:rPr>
            </w:pPr>
          </w:p>
        </w:tc>
      </w:tr>
    </w:tbl>
    <w:p w14:paraId="1A349EF0" w14:textId="77777777" w:rsidR="00B262A1" w:rsidRPr="00850BA2" w:rsidRDefault="00850BA2" w:rsidP="00850BA2">
      <w:pPr>
        <w:tabs>
          <w:tab w:val="left" w:pos="5760"/>
        </w:tabs>
        <w:rPr>
          <w:rFonts w:ascii="Arial" w:hAnsi="Arial" w:cs="Arial"/>
          <w:sz w:val="16"/>
        </w:rPr>
      </w:pPr>
      <w:r>
        <w:rPr>
          <w:rFonts w:ascii="Arial" w:hAnsi="Arial" w:cs="Arial"/>
          <w:sz w:val="16"/>
        </w:rPr>
        <w:t>Approved by:  David E Kintz Jr   Park County Coroner</w:t>
      </w:r>
      <w:r>
        <w:rPr>
          <w:rFonts w:ascii="Arial" w:hAnsi="Arial" w:cs="Arial"/>
          <w:sz w:val="16"/>
        </w:rPr>
        <w:tab/>
        <w:t xml:space="preserve">                                                               </w:t>
      </w:r>
    </w:p>
    <w:sectPr w:rsidR="00B262A1" w:rsidRPr="00850BA2" w:rsidSect="0017636E">
      <w:headerReference w:type="default" r:id="rId10"/>
      <w:footerReference w:type="default" r:id="rId11"/>
      <w:pgSz w:w="12240" w:h="15840" w:code="1"/>
      <w:pgMar w:top="2520" w:right="1440" w:bottom="1440" w:left="1440" w:header="90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F2B98" w14:textId="77777777" w:rsidR="00B23CD0" w:rsidRDefault="00963746">
      <w:r>
        <w:separator/>
      </w:r>
    </w:p>
  </w:endnote>
  <w:endnote w:type="continuationSeparator" w:id="0">
    <w:p w14:paraId="31B410DD" w14:textId="77777777" w:rsidR="00B23CD0" w:rsidRDefault="00963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4F85F" w14:textId="77777777" w:rsidR="000B4DDB" w:rsidRDefault="00850BA2">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BA1B8B">
      <w:rPr>
        <w:rStyle w:val="PageNumber"/>
        <w:noProof/>
      </w:rPr>
      <w:t>1</w:t>
    </w:r>
    <w:r>
      <w:rPr>
        <w:rStyle w:val="PageNumber"/>
      </w:rPr>
      <w:fldChar w:fldCharType="end"/>
    </w:r>
    <w:r>
      <w:rPr>
        <w:rStyle w:val="PageNumber"/>
      </w:rPr>
      <w:t xml:space="preserve"> of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040BC" w14:textId="77777777" w:rsidR="00B23CD0" w:rsidRDefault="00963746">
      <w:r>
        <w:separator/>
      </w:r>
    </w:p>
  </w:footnote>
  <w:footnote w:type="continuationSeparator" w:id="0">
    <w:p w14:paraId="4EE4667B" w14:textId="77777777" w:rsidR="00B23CD0" w:rsidRDefault="00963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7D44D" w14:textId="77777777" w:rsidR="000B4DDB" w:rsidRDefault="00850BA2">
    <w:pPr>
      <w:pStyle w:val="Title"/>
      <w:rPr>
        <w:sz w:val="22"/>
      </w:rPr>
    </w:pPr>
    <w:smartTag w:uri="urn:schemas-microsoft-com:office:smarttags" w:element="place">
      <w:smartTag w:uri="urn:schemas-microsoft-com:office:smarttags" w:element="PlaceType">
        <w:r>
          <w:rPr>
            <w:sz w:val="22"/>
          </w:rPr>
          <w:t>Park</w:t>
        </w:r>
      </w:smartTag>
      <w:r>
        <w:rPr>
          <w:sz w:val="22"/>
        </w:rPr>
        <w:t xml:space="preserve"> </w:t>
      </w:r>
      <w:smartTag w:uri="urn:schemas-microsoft-com:office:smarttags" w:element="PlaceType">
        <w:r>
          <w:rPr>
            <w:sz w:val="22"/>
          </w:rPr>
          <w:t>County</w:t>
        </w:r>
      </w:smartTag>
    </w:smartTag>
    <w:r>
      <w:rPr>
        <w:sz w:val="22"/>
      </w:rPr>
      <w:t xml:space="preserve"> </w:t>
    </w:r>
    <w:proofErr w:type="spellStart"/>
    <w:r>
      <w:rPr>
        <w:sz w:val="22"/>
      </w:rPr>
      <w:t>Coroners</w:t>
    </w:r>
    <w:proofErr w:type="spellEnd"/>
    <w:r>
      <w:rPr>
        <w:sz w:val="22"/>
      </w:rPr>
      <w:t xml:space="preserve"> Office</w:t>
    </w:r>
  </w:p>
  <w:p w14:paraId="3A1852AF" w14:textId="77777777" w:rsidR="000B4DDB" w:rsidRDefault="000B4DDB">
    <w:pPr>
      <w:pStyle w:val="Title"/>
      <w:rPr>
        <w:sz w:val="22"/>
      </w:rPr>
    </w:pPr>
  </w:p>
  <w:p w14:paraId="5228CCB4" w14:textId="77777777" w:rsidR="000B4DDB" w:rsidRDefault="000B4DDB">
    <w:pPr>
      <w:pStyle w:val="Title"/>
      <w:rPr>
        <w:sz w:val="22"/>
        <w:u w:val="single"/>
      </w:rPr>
    </w:pPr>
  </w:p>
  <w:p w14:paraId="0241FA06" w14:textId="77777777" w:rsidR="000B4DDB" w:rsidRPr="00101248" w:rsidRDefault="00850BA2">
    <w:pPr>
      <w:pStyle w:val="Title"/>
      <w:rPr>
        <w:sz w:val="22"/>
        <w:u w:val="single"/>
      </w:rPr>
    </w:pPr>
    <w:r>
      <w:rPr>
        <w:sz w:val="22"/>
        <w:u w:val="single"/>
      </w:rPr>
      <w:t>Body Handling</w:t>
    </w:r>
  </w:p>
  <w:p w14:paraId="3821697C" w14:textId="77777777" w:rsidR="000B4DDB" w:rsidRDefault="000B4DDB">
    <w:pPr>
      <w:pStyle w:val="Title"/>
      <w:rPr>
        <w:sz w:val="22"/>
      </w:rPr>
    </w:pPr>
  </w:p>
  <w:p w14:paraId="74D88174" w14:textId="77777777" w:rsidR="000B4DDB" w:rsidRPr="002F6995" w:rsidRDefault="000B4DDB">
    <w:pPr>
      <w:pStyle w:val="Heading1"/>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71C4A"/>
    <w:multiLevelType w:val="hybridMultilevel"/>
    <w:tmpl w:val="A35EB444"/>
    <w:lvl w:ilvl="0" w:tplc="FFFFFFFF">
      <w:start w:val="1"/>
      <w:numFmt w:val="decimal"/>
      <w:lvlText w:val="%1."/>
      <w:lvlJc w:val="left"/>
      <w:pPr>
        <w:tabs>
          <w:tab w:val="num" w:pos="720"/>
        </w:tabs>
        <w:ind w:left="720" w:hanging="360"/>
      </w:pPr>
    </w:lvl>
    <w:lvl w:ilvl="1" w:tplc="3EEC7846">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2063752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BA2"/>
    <w:rsid w:val="000B4DDB"/>
    <w:rsid w:val="00243807"/>
    <w:rsid w:val="00262D33"/>
    <w:rsid w:val="00356892"/>
    <w:rsid w:val="00417434"/>
    <w:rsid w:val="004C7820"/>
    <w:rsid w:val="006206E8"/>
    <w:rsid w:val="00850BA2"/>
    <w:rsid w:val="008778D6"/>
    <w:rsid w:val="00963746"/>
    <w:rsid w:val="009C54D8"/>
    <w:rsid w:val="009E4606"/>
    <w:rsid w:val="00B23CD0"/>
    <w:rsid w:val="00B262A1"/>
    <w:rsid w:val="00BA1B8B"/>
    <w:rsid w:val="00F80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hapeDefaults>
    <o:shapedefaults v:ext="edit" spidmax="1026"/>
    <o:shapelayout v:ext="edit">
      <o:idmap v:ext="edit" data="1"/>
    </o:shapelayout>
  </w:shapeDefaults>
  <w:decimalSymbol w:val="."/>
  <w:listSeparator w:val=","/>
  <w14:docId w14:val="596636EF"/>
  <w15:docId w15:val="{62CF259D-C4D1-4E21-BA84-408644C86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BA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50BA2"/>
    <w:pPr>
      <w:keepNext/>
      <w:jc w:val="center"/>
      <w:outlineLvl w:val="0"/>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0BA2"/>
    <w:rPr>
      <w:rFonts w:ascii="Arial" w:eastAsia="Times New Roman" w:hAnsi="Arial" w:cs="Arial"/>
      <w:b/>
      <w:bCs/>
      <w:szCs w:val="24"/>
    </w:rPr>
  </w:style>
  <w:style w:type="paragraph" w:styleId="Title">
    <w:name w:val="Title"/>
    <w:basedOn w:val="Normal"/>
    <w:link w:val="TitleChar"/>
    <w:qFormat/>
    <w:rsid w:val="00850BA2"/>
    <w:pPr>
      <w:jc w:val="center"/>
    </w:pPr>
    <w:rPr>
      <w:rFonts w:ascii="Arial" w:hAnsi="Arial" w:cs="Arial"/>
      <w:b/>
      <w:bCs/>
    </w:rPr>
  </w:style>
  <w:style w:type="character" w:customStyle="1" w:styleId="TitleChar">
    <w:name w:val="Title Char"/>
    <w:basedOn w:val="DefaultParagraphFont"/>
    <w:link w:val="Title"/>
    <w:rsid w:val="00850BA2"/>
    <w:rPr>
      <w:rFonts w:ascii="Arial" w:eastAsia="Times New Roman" w:hAnsi="Arial" w:cs="Arial"/>
      <w:b/>
      <w:bCs/>
      <w:sz w:val="24"/>
      <w:szCs w:val="24"/>
    </w:rPr>
  </w:style>
  <w:style w:type="paragraph" w:styleId="Footer">
    <w:name w:val="footer"/>
    <w:basedOn w:val="Normal"/>
    <w:link w:val="FooterChar"/>
    <w:semiHidden/>
    <w:rsid w:val="00850BA2"/>
    <w:pPr>
      <w:tabs>
        <w:tab w:val="center" w:pos="4320"/>
        <w:tab w:val="right" w:pos="8640"/>
      </w:tabs>
    </w:pPr>
  </w:style>
  <w:style w:type="character" w:customStyle="1" w:styleId="FooterChar">
    <w:name w:val="Footer Char"/>
    <w:basedOn w:val="DefaultParagraphFont"/>
    <w:link w:val="Footer"/>
    <w:semiHidden/>
    <w:rsid w:val="00850BA2"/>
    <w:rPr>
      <w:rFonts w:ascii="Times New Roman" w:eastAsia="Times New Roman" w:hAnsi="Times New Roman" w:cs="Times New Roman"/>
      <w:sz w:val="24"/>
      <w:szCs w:val="24"/>
    </w:rPr>
  </w:style>
  <w:style w:type="character" w:styleId="PageNumber">
    <w:name w:val="page number"/>
    <w:basedOn w:val="DefaultParagraphFont"/>
    <w:semiHidden/>
    <w:rsid w:val="00850BA2"/>
  </w:style>
  <w:style w:type="paragraph" w:styleId="BodyText">
    <w:name w:val="Body Text"/>
    <w:basedOn w:val="Normal"/>
    <w:link w:val="BodyTextChar"/>
    <w:semiHidden/>
    <w:rsid w:val="00850BA2"/>
    <w:pPr>
      <w:jc w:val="both"/>
    </w:pPr>
    <w:rPr>
      <w:rFonts w:ascii="Arial" w:hAnsi="Arial"/>
      <w:sz w:val="22"/>
      <w:szCs w:val="20"/>
    </w:rPr>
  </w:style>
  <w:style w:type="character" w:customStyle="1" w:styleId="BodyTextChar">
    <w:name w:val="Body Text Char"/>
    <w:basedOn w:val="DefaultParagraphFont"/>
    <w:link w:val="BodyText"/>
    <w:semiHidden/>
    <w:rsid w:val="00850BA2"/>
    <w:rPr>
      <w:rFonts w:ascii="Arial" w:eastAsia="Times New Roman" w:hAnsi="Arial" w:cs="Times New Roman"/>
      <w:szCs w:val="20"/>
    </w:rPr>
  </w:style>
  <w:style w:type="paragraph" w:styleId="ListParagraph">
    <w:name w:val="List Paragraph"/>
    <w:basedOn w:val="Normal"/>
    <w:uiPriority w:val="34"/>
    <w:qFormat/>
    <w:rsid w:val="00850BA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9EADCD-FC88-4E12-A5CF-D5499C60F966}">
  <ds:schemaRefs>
    <ds:schemaRef ds:uri="8416942f-d982-4ba4-a5b0-104826b4be24"/>
    <ds:schemaRef ds:uri="http://schemas.microsoft.com/office/2006/documentManagement/types"/>
    <ds:schemaRef ds:uri="http://www.w3.org/XML/1998/namespace"/>
    <ds:schemaRef ds:uri="http://purl.org/dc/terms/"/>
    <ds:schemaRef ds:uri="http://purl.org/dc/elements/1.1/"/>
    <ds:schemaRef ds:uri="http://schemas.microsoft.com/office/infopath/2007/PartnerControls"/>
    <ds:schemaRef ds:uri="http://schemas.openxmlformats.org/package/2006/metadata/core-properties"/>
    <ds:schemaRef ds:uri="8ef27eb8-0e3d-496f-b523-771757bdd770"/>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8D79A601-4843-49DF-A57E-327C998D5E12}">
  <ds:schemaRefs>
    <ds:schemaRef ds:uri="http://schemas.microsoft.com/sharepoint/v3/contenttype/forms"/>
  </ds:schemaRefs>
</ds:datastoreItem>
</file>

<file path=customXml/itemProps3.xml><?xml version="1.0" encoding="utf-8"?>
<ds:datastoreItem xmlns:ds="http://schemas.openxmlformats.org/officeDocument/2006/customXml" ds:itemID="{8B64A520-E0EF-4D69-9B2A-BF24657779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Park County Government</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Comstock</dc:creator>
  <cp:lastModifiedBy>Chisholm, Yujiemi</cp:lastModifiedBy>
  <cp:revision>2</cp:revision>
  <dcterms:created xsi:type="dcterms:W3CDTF">2025-06-02T11:21:00Z</dcterms:created>
  <dcterms:modified xsi:type="dcterms:W3CDTF">2025-06-02T11:21:00Z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